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DF56" w14:textId="7E85B9C5" w:rsidR="00380DDF" w:rsidRPr="00380DDF" w:rsidRDefault="00380DDF" w:rsidP="002C265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  <w:rPr>
          <w:rFonts w:ascii="Arial" w:hAnsi="Arial"/>
        </w:rPr>
      </w:pPr>
      <w:r w:rsidRPr="00380DDF">
        <w:rPr>
          <w:rFonts w:ascii="Arial" w:hAnsi="Arial"/>
        </w:rPr>
        <w:t>Queensland’s tourism industry is a driving force in our state’s economy.</w:t>
      </w:r>
      <w:r>
        <w:rPr>
          <w:rFonts w:ascii="Arial" w:hAnsi="Arial"/>
        </w:rPr>
        <w:t xml:space="preserve"> </w:t>
      </w:r>
      <w:r w:rsidRPr="00380DDF">
        <w:rPr>
          <w:rFonts w:ascii="Arial" w:hAnsi="Arial"/>
        </w:rPr>
        <w:t xml:space="preserve">As we </w:t>
      </w:r>
      <w:r w:rsidR="00BB0EF5">
        <w:rPr>
          <w:rFonts w:ascii="Arial" w:hAnsi="Arial"/>
        </w:rPr>
        <w:t xml:space="preserve">strongly </w:t>
      </w:r>
      <w:r w:rsidRPr="00380DDF">
        <w:rPr>
          <w:rFonts w:ascii="Arial" w:hAnsi="Arial"/>
        </w:rPr>
        <w:t>emerge from the profound impacts of the COVID-19 pandemic, our visitor economy is well positioned to transform and grow.</w:t>
      </w:r>
    </w:p>
    <w:p w14:paraId="5F5A3C11" w14:textId="50A8AD80" w:rsidR="00380DDF" w:rsidRDefault="00380DDF" w:rsidP="002C265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  <w:rPr>
          <w:rFonts w:ascii="Arial" w:hAnsi="Arial"/>
        </w:rPr>
      </w:pPr>
      <w:r w:rsidRPr="00380DDF">
        <w:rPr>
          <w:rFonts w:ascii="Arial" w:hAnsi="Arial"/>
        </w:rPr>
        <w:t xml:space="preserve">In June 2022, the independent Queensland Tourism Industry Reference Panel </w:t>
      </w:r>
      <w:r w:rsidR="00490B94">
        <w:rPr>
          <w:rFonts w:ascii="Arial" w:hAnsi="Arial"/>
        </w:rPr>
        <w:t xml:space="preserve">(the Panel) </w:t>
      </w:r>
      <w:r w:rsidRPr="00380DDF">
        <w:rPr>
          <w:rFonts w:ascii="Arial" w:hAnsi="Arial"/>
        </w:rPr>
        <w:t xml:space="preserve">released their </w:t>
      </w:r>
      <w:r w:rsidRPr="006E4B45">
        <w:rPr>
          <w:rFonts w:ascii="Arial" w:hAnsi="Arial"/>
        </w:rPr>
        <w:t>Action Plan for Tourism Recovery</w:t>
      </w:r>
      <w:r w:rsidR="00490B94" w:rsidRPr="006E4B45">
        <w:rPr>
          <w:rFonts w:ascii="Arial" w:hAnsi="Arial"/>
        </w:rPr>
        <w:t xml:space="preserve"> </w:t>
      </w:r>
      <w:r w:rsidR="00490B94" w:rsidRPr="00A94DB8">
        <w:rPr>
          <w:rFonts w:ascii="Arial" w:hAnsi="Arial"/>
        </w:rPr>
        <w:t>(</w:t>
      </w:r>
      <w:r w:rsidR="00A94DB8">
        <w:rPr>
          <w:rFonts w:ascii="Arial" w:hAnsi="Arial"/>
        </w:rPr>
        <w:t xml:space="preserve">the </w:t>
      </w:r>
      <w:r w:rsidR="00490B94" w:rsidRPr="00A94DB8">
        <w:rPr>
          <w:rFonts w:ascii="Arial" w:hAnsi="Arial"/>
        </w:rPr>
        <w:t>Action Plan)</w:t>
      </w:r>
      <w:r>
        <w:rPr>
          <w:rFonts w:ascii="Arial" w:hAnsi="Arial"/>
        </w:rPr>
        <w:t>,</w:t>
      </w:r>
      <w:r w:rsidRPr="00380DDF">
        <w:rPr>
          <w:rFonts w:ascii="Arial" w:hAnsi="Arial"/>
        </w:rPr>
        <w:t xml:space="preserve"> which made 75 recommendations for industry and government to look forward and plan for long-term success.</w:t>
      </w:r>
    </w:p>
    <w:p w14:paraId="0551D6B4" w14:textId="203CC672" w:rsidR="00380DDF" w:rsidRDefault="00380DDF" w:rsidP="002C265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  <w:rPr>
          <w:rFonts w:ascii="Arial" w:hAnsi="Arial"/>
        </w:rPr>
      </w:pPr>
      <w:r w:rsidRPr="00380DDF">
        <w:rPr>
          <w:rFonts w:ascii="Arial" w:hAnsi="Arial"/>
        </w:rPr>
        <w:t xml:space="preserve">In a coordinated effort across government and industry, a </w:t>
      </w:r>
      <w:r>
        <w:rPr>
          <w:rFonts w:ascii="Arial" w:hAnsi="Arial"/>
        </w:rPr>
        <w:t>new long-term tourism</w:t>
      </w:r>
      <w:r w:rsidR="00BB0EF5">
        <w:rPr>
          <w:rFonts w:ascii="Arial" w:hAnsi="Arial"/>
        </w:rPr>
        <w:t xml:space="preserve"> industry</w:t>
      </w:r>
      <w:r>
        <w:rPr>
          <w:rFonts w:ascii="Arial" w:hAnsi="Arial"/>
        </w:rPr>
        <w:t xml:space="preserve"> strategy has been prepared (</w:t>
      </w:r>
      <w:r w:rsidRPr="003544F0">
        <w:rPr>
          <w:rFonts w:ascii="Arial" w:hAnsi="Arial"/>
          <w:i/>
          <w:iCs/>
        </w:rPr>
        <w:t>Towards Tourism 2032</w:t>
      </w:r>
      <w:r>
        <w:rPr>
          <w:rFonts w:ascii="Arial" w:hAnsi="Arial"/>
        </w:rPr>
        <w:t xml:space="preserve">), </w:t>
      </w:r>
      <w:r w:rsidR="00490B94">
        <w:rPr>
          <w:rFonts w:ascii="Arial" w:hAnsi="Arial"/>
        </w:rPr>
        <w:t>drawing</w:t>
      </w:r>
      <w:r>
        <w:rPr>
          <w:rFonts w:ascii="Arial" w:hAnsi="Arial"/>
        </w:rPr>
        <w:t xml:space="preserve"> on the strategic intent and directions identified in the Action Plan.</w:t>
      </w:r>
    </w:p>
    <w:p w14:paraId="5CE6B095" w14:textId="12C2CB28" w:rsidR="00490B94" w:rsidRPr="00490B94" w:rsidRDefault="00380DDF" w:rsidP="002C265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  <w:rPr>
          <w:rFonts w:ascii="Arial" w:hAnsi="Arial"/>
        </w:rPr>
      </w:pPr>
      <w:r w:rsidRPr="003544F0">
        <w:rPr>
          <w:rFonts w:ascii="Arial" w:hAnsi="Arial"/>
          <w:i/>
          <w:iCs/>
        </w:rPr>
        <w:t>Towards Tourism 2032</w:t>
      </w:r>
      <w:r w:rsidRPr="00380DDF">
        <w:rPr>
          <w:rFonts w:ascii="Arial" w:hAnsi="Arial"/>
        </w:rPr>
        <w:t xml:space="preserve"> provid</w:t>
      </w:r>
      <w:r>
        <w:rPr>
          <w:rFonts w:ascii="Arial" w:hAnsi="Arial"/>
        </w:rPr>
        <w:t>es</w:t>
      </w:r>
      <w:r w:rsidRPr="00380DDF">
        <w:rPr>
          <w:rFonts w:ascii="Arial" w:hAnsi="Arial"/>
        </w:rPr>
        <w:t xml:space="preserve"> a collective framework to drive visitor economy growth over the next ten years</w:t>
      </w:r>
      <w:r w:rsidR="00490B94">
        <w:rPr>
          <w:rFonts w:ascii="Arial" w:hAnsi="Arial"/>
        </w:rPr>
        <w:t xml:space="preserve"> </w:t>
      </w:r>
      <w:r w:rsidR="00A94DB8" w:rsidRPr="006E4B45">
        <w:rPr>
          <w:rFonts w:ascii="Arial" w:hAnsi="Arial"/>
        </w:rPr>
        <w:t>and</w:t>
      </w:r>
      <w:r w:rsidR="00490B94" w:rsidRPr="00380DDF">
        <w:rPr>
          <w:rFonts w:ascii="Arial" w:hAnsi="Arial"/>
        </w:rPr>
        <w:t xml:space="preserve"> </w:t>
      </w:r>
      <w:r w:rsidR="00490B94" w:rsidRPr="00490B94">
        <w:rPr>
          <w:rFonts w:ascii="Arial" w:hAnsi="Arial"/>
        </w:rPr>
        <w:t>will be delivered as a partnership between the Queensland Government, tourism industry and local government</w:t>
      </w:r>
      <w:r w:rsidR="006E4B45">
        <w:rPr>
          <w:rFonts w:ascii="Arial" w:hAnsi="Arial"/>
        </w:rPr>
        <w:t>s</w:t>
      </w:r>
      <w:r w:rsidR="00490B94" w:rsidRPr="00490B94">
        <w:rPr>
          <w:rFonts w:ascii="Arial" w:hAnsi="Arial"/>
        </w:rPr>
        <w:t>.</w:t>
      </w:r>
    </w:p>
    <w:p w14:paraId="11B29A04" w14:textId="2F1FEECC" w:rsidR="004957AF" w:rsidRPr="004957AF" w:rsidRDefault="004957AF" w:rsidP="002C265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  <w:rPr>
          <w:rFonts w:ascii="Arial" w:hAnsi="Arial"/>
        </w:rPr>
      </w:pPr>
      <w:r w:rsidRPr="003544F0">
        <w:rPr>
          <w:rFonts w:ascii="Arial" w:hAnsi="Arial"/>
          <w:i/>
          <w:iCs/>
        </w:rPr>
        <w:t>Towards Tourism 2032</w:t>
      </w:r>
      <w:r w:rsidRPr="004957AF">
        <w:rPr>
          <w:rFonts w:ascii="Arial" w:hAnsi="Arial"/>
        </w:rPr>
        <w:t xml:space="preserve"> charts a new course for our visitor economy future </w:t>
      </w:r>
      <w:r w:rsidR="003A1E63">
        <w:rPr>
          <w:rFonts w:ascii="Arial" w:hAnsi="Arial"/>
        </w:rPr>
        <w:t>to</w:t>
      </w:r>
      <w:r w:rsidRPr="004957AF">
        <w:rPr>
          <w:rFonts w:ascii="Arial" w:hAnsi="Arial"/>
        </w:rPr>
        <w:t xml:space="preserve"> position us for success </w:t>
      </w:r>
      <w:r>
        <w:rPr>
          <w:rFonts w:ascii="Arial" w:hAnsi="Arial"/>
        </w:rPr>
        <w:t>in the lead up to Brisbane</w:t>
      </w:r>
      <w:r w:rsidRPr="004957AF">
        <w:rPr>
          <w:rFonts w:ascii="Arial" w:hAnsi="Arial"/>
        </w:rPr>
        <w:t xml:space="preserve"> 2032.</w:t>
      </w:r>
    </w:p>
    <w:p w14:paraId="0369C580" w14:textId="1A30D4F7" w:rsidR="00BB29FB" w:rsidRDefault="00BB29FB" w:rsidP="002C265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  <w:rPr>
          <w:rFonts w:ascii="Arial" w:hAnsi="Arial"/>
        </w:rPr>
      </w:pPr>
      <w:r w:rsidRPr="003544F0">
        <w:rPr>
          <w:rFonts w:ascii="Arial" w:hAnsi="Arial"/>
          <w:u w:val="single"/>
        </w:rPr>
        <w:t>Cabinet approved</w:t>
      </w:r>
      <w:r>
        <w:rPr>
          <w:rFonts w:ascii="Arial" w:hAnsi="Arial"/>
        </w:rPr>
        <w:t xml:space="preserve"> the release of </w:t>
      </w:r>
      <w:r w:rsidRPr="006E4B45">
        <w:rPr>
          <w:rFonts w:ascii="Arial" w:hAnsi="Arial"/>
        </w:rPr>
        <w:t xml:space="preserve">Queensland’s long-term tourism industry strategy, </w:t>
      </w:r>
      <w:r w:rsidRPr="006E4B45">
        <w:rPr>
          <w:rFonts w:ascii="Arial" w:hAnsi="Arial"/>
          <w:i/>
          <w:iCs/>
        </w:rPr>
        <w:t>Towards Tourism 2032</w:t>
      </w:r>
      <w:r w:rsidR="00BC2E5E" w:rsidRPr="006E4B45">
        <w:rPr>
          <w:rFonts w:ascii="Arial" w:hAnsi="Arial"/>
        </w:rPr>
        <w:t xml:space="preserve"> and the Phase 1 Implementation Plan</w:t>
      </w:r>
      <w:r w:rsidRPr="006E4B45">
        <w:rPr>
          <w:rFonts w:ascii="Arial" w:hAnsi="Arial"/>
        </w:rPr>
        <w:t xml:space="preserve">, alongside </w:t>
      </w:r>
      <w:r w:rsidR="006E4B45">
        <w:rPr>
          <w:rFonts w:ascii="Arial" w:hAnsi="Arial"/>
        </w:rPr>
        <w:t>the</w:t>
      </w:r>
      <w:r w:rsidRPr="006E4B45">
        <w:rPr>
          <w:rFonts w:ascii="Arial" w:hAnsi="Arial"/>
        </w:rPr>
        <w:t xml:space="preserve"> Queensland Government Response to the Tourism Industry Reference Panel’s Action Plan for Tourism Recovery.</w:t>
      </w:r>
    </w:p>
    <w:p w14:paraId="6E3CCE6D" w14:textId="495E0616" w:rsidR="00BB29FB" w:rsidRPr="006E4B45" w:rsidRDefault="00BB29FB" w:rsidP="000341E0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5" w:right="6" w:hanging="425"/>
        <w:jc w:val="both"/>
        <w:rPr>
          <w:rFonts w:ascii="Arial" w:hAnsi="Arial"/>
          <w:i/>
          <w:iCs/>
          <w:u w:val="single"/>
        </w:rPr>
      </w:pPr>
      <w:r w:rsidRPr="006E4B45">
        <w:rPr>
          <w:rFonts w:ascii="Arial" w:hAnsi="Arial"/>
          <w:i/>
          <w:iCs/>
          <w:u w:val="single"/>
        </w:rPr>
        <w:t>Attachments</w:t>
      </w:r>
      <w:r w:rsidR="003544F0" w:rsidRPr="006E4B45">
        <w:rPr>
          <w:rFonts w:ascii="Arial" w:hAnsi="Arial"/>
          <w:i/>
          <w:iCs/>
          <w:u w:val="single"/>
        </w:rPr>
        <w:t>:</w:t>
      </w:r>
    </w:p>
    <w:p w14:paraId="2DC80CC8" w14:textId="3E1BB8C3" w:rsidR="00BB29FB" w:rsidRPr="003544F0" w:rsidRDefault="00FB3C47" w:rsidP="002C2651">
      <w:pPr>
        <w:pStyle w:val="ListParagraph"/>
        <w:numPr>
          <w:ilvl w:val="1"/>
          <w:numId w:val="1"/>
        </w:numPr>
        <w:spacing w:before="120"/>
        <w:ind w:left="851" w:right="6"/>
        <w:jc w:val="both"/>
        <w:rPr>
          <w:rFonts w:ascii="Arial" w:hAnsi="Arial"/>
        </w:rPr>
      </w:pPr>
      <w:hyperlink r:id="rId9" w:history="1">
        <w:r w:rsidR="00BB29FB" w:rsidRPr="00930D2A">
          <w:rPr>
            <w:rStyle w:val="Hyperlink"/>
            <w:rFonts w:ascii="Arial" w:hAnsi="Arial"/>
            <w:i/>
            <w:iCs/>
          </w:rPr>
          <w:t>Towards Tourism 2032</w:t>
        </w:r>
        <w:r w:rsidR="00BB29FB" w:rsidRPr="00930D2A">
          <w:rPr>
            <w:rStyle w:val="Hyperlink"/>
            <w:rFonts w:ascii="Arial" w:hAnsi="Arial"/>
          </w:rPr>
          <w:t xml:space="preserve"> </w:t>
        </w:r>
        <w:r w:rsidR="003544F0" w:rsidRPr="00930D2A">
          <w:rPr>
            <w:rStyle w:val="Hyperlink"/>
            <w:rFonts w:ascii="Arial" w:hAnsi="Arial"/>
          </w:rPr>
          <w:t>S</w:t>
        </w:r>
        <w:r w:rsidR="00BB29FB" w:rsidRPr="00930D2A">
          <w:rPr>
            <w:rStyle w:val="Hyperlink"/>
            <w:rFonts w:ascii="Arial" w:hAnsi="Arial"/>
          </w:rPr>
          <w:t xml:space="preserve">trategy, including Phase 1 Implementation Plan </w:t>
        </w:r>
        <w:r w:rsidR="003A1E63" w:rsidRPr="00930D2A">
          <w:rPr>
            <w:rStyle w:val="Hyperlink"/>
            <w:rFonts w:ascii="Arial" w:hAnsi="Arial"/>
          </w:rPr>
          <w:t>(2023-2025)</w:t>
        </w:r>
      </w:hyperlink>
    </w:p>
    <w:p w14:paraId="738DFDA1" w14:textId="1B342F0A" w:rsidR="00B82C52" w:rsidRDefault="00FB3C47" w:rsidP="002C2651">
      <w:pPr>
        <w:pStyle w:val="ListParagraph"/>
        <w:numPr>
          <w:ilvl w:val="1"/>
          <w:numId w:val="1"/>
        </w:numPr>
        <w:spacing w:before="120"/>
        <w:ind w:left="851" w:right="6"/>
        <w:jc w:val="both"/>
      </w:pPr>
      <w:hyperlink r:id="rId10" w:history="1">
        <w:r w:rsidR="00BB29FB" w:rsidRPr="00930D2A">
          <w:rPr>
            <w:rStyle w:val="Hyperlink"/>
            <w:rFonts w:ascii="Arial" w:hAnsi="Arial"/>
          </w:rPr>
          <w:t>Queensland Government Response to the Action Plan for Tourism Recovery</w:t>
        </w:r>
      </w:hyperlink>
    </w:p>
    <w:sectPr w:rsidR="00B82C52" w:rsidSect="000341E0">
      <w:headerReference w:type="even" r:id="rId11"/>
      <w:headerReference w:type="default" r:id="rId12"/>
      <w:footerReference w:type="default" r:id="rId13"/>
      <w:headerReference w:type="first" r:id="rId14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E06D" w14:textId="77777777" w:rsidR="00492E38" w:rsidRDefault="00492E38">
      <w:r>
        <w:separator/>
      </w:r>
    </w:p>
  </w:endnote>
  <w:endnote w:type="continuationSeparator" w:id="0">
    <w:p w14:paraId="4F3B26C3" w14:textId="77777777" w:rsidR="00492E38" w:rsidRDefault="0049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917F" w14:textId="77777777" w:rsidR="00976A37" w:rsidRDefault="00FB3C4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4606" w14:textId="77777777" w:rsidR="00492E38" w:rsidRDefault="00492E38">
      <w:r>
        <w:separator/>
      </w:r>
    </w:p>
  </w:footnote>
  <w:footnote w:type="continuationSeparator" w:id="0">
    <w:p w14:paraId="249E4ECA" w14:textId="77777777" w:rsidR="00492E38" w:rsidRDefault="0049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D16D" w14:textId="5E93E421" w:rsidR="00FB3C47" w:rsidRDefault="00FB3C4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3A5BF" wp14:editId="74445B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00187641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85BAC2" w14:textId="555A8CED" w:rsidR="00FB3C47" w:rsidRPr="00FB3C47" w:rsidRDefault="00FB3C47" w:rsidP="00FB3C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FB3C4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3A5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085BAC2" w14:textId="555A8CED" w:rsidR="00FB3C47" w:rsidRPr="00FB3C47" w:rsidRDefault="00FB3C47" w:rsidP="00FB3C4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FB3C47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C447" w14:textId="5E81196F" w:rsidR="000341E0" w:rsidRPr="00937A4A" w:rsidRDefault="00FB3C47" w:rsidP="000341E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B9A0C0" wp14:editId="2E99DC0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66625404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D50B99" w14:textId="572AC033" w:rsidR="00FB3C47" w:rsidRPr="00FB3C47" w:rsidRDefault="00FB3C47" w:rsidP="00FB3C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FB3C4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9A0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BD50B99" w14:textId="572AC033" w:rsidR="00FB3C47" w:rsidRPr="00FB3C47" w:rsidRDefault="00FB3C47" w:rsidP="00FB3C4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FB3C47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1E0" w:rsidRPr="00937A4A">
      <w:rPr>
        <w:rFonts w:ascii="Arial" w:hAnsi="Arial" w:cs="Arial"/>
        <w:b/>
        <w:sz w:val="28"/>
      </w:rPr>
      <w:t>Queensland Government</w:t>
    </w:r>
  </w:p>
  <w:p w14:paraId="48029DED" w14:textId="77777777" w:rsidR="000341E0" w:rsidRPr="00937A4A" w:rsidRDefault="000341E0" w:rsidP="000341E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u w:val="single"/>
      </w:rPr>
    </w:pPr>
  </w:p>
  <w:p w14:paraId="2771678A" w14:textId="4E35371B" w:rsidR="000341E0" w:rsidRPr="00937A4A" w:rsidRDefault="000341E0" w:rsidP="000341E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>
      <w:rPr>
        <w:rFonts w:ascii="Arial" w:hAnsi="Arial" w:cs="Arial"/>
        <w:b/>
      </w:rPr>
      <w:t>October 2022</w:t>
    </w:r>
  </w:p>
  <w:p w14:paraId="449DD5D3" w14:textId="4A36CC48" w:rsidR="000341E0" w:rsidRDefault="000341E0" w:rsidP="000341E0">
    <w:pPr>
      <w:pStyle w:val="Header"/>
      <w:spacing w:before="120"/>
      <w:rPr>
        <w:rFonts w:ascii="Arial" w:hAnsi="Arial" w:cs="Arial"/>
        <w:b/>
        <w:u w:val="single"/>
      </w:rPr>
    </w:pPr>
    <w:r w:rsidRPr="000341E0">
      <w:rPr>
        <w:rFonts w:ascii="Arial" w:hAnsi="Arial" w:cs="Arial"/>
        <w:b/>
        <w:u w:val="single"/>
      </w:rPr>
      <w:t>Queensland’s long-term tourism industry strategy - Towards Tourism 2032</w:t>
    </w:r>
  </w:p>
  <w:p w14:paraId="7620DE6F" w14:textId="1E8945A2" w:rsidR="000341E0" w:rsidRDefault="000341E0" w:rsidP="000341E0">
    <w:pPr>
      <w:pStyle w:val="Header"/>
      <w:spacing w:before="120"/>
      <w:rPr>
        <w:rFonts w:ascii="Arial" w:hAnsi="Arial" w:cs="Arial"/>
        <w:b/>
        <w:u w:val="single"/>
      </w:rPr>
    </w:pPr>
    <w:r w:rsidRPr="000341E0">
      <w:rPr>
        <w:rFonts w:ascii="Arial" w:hAnsi="Arial" w:cs="Arial"/>
        <w:b/>
        <w:u w:val="single"/>
      </w:rPr>
      <w:t>Minister for Tourism, Innovation and Sport and Minister Assisting the Premier on Olympics and Paralympics Sport and Engagement</w:t>
    </w:r>
  </w:p>
  <w:p w14:paraId="66023FE8" w14:textId="77777777" w:rsidR="000341E0" w:rsidRDefault="000341E0" w:rsidP="000341E0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FA1F" w14:textId="31B8B749" w:rsidR="00FB3C47" w:rsidRDefault="00FB3C4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5C3D92" wp14:editId="6F2595E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22624309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DE161" w14:textId="49BC544D" w:rsidR="00FB3C47" w:rsidRPr="00FB3C47" w:rsidRDefault="00FB3C47" w:rsidP="00FB3C47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FB3C47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C3D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FFDE161" w14:textId="49BC544D" w:rsidR="00FB3C47" w:rsidRPr="00FB3C47" w:rsidRDefault="00FB3C47" w:rsidP="00FB3C47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FB3C47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1CDF"/>
    <w:multiLevelType w:val="hybridMultilevel"/>
    <w:tmpl w:val="E18EA95C"/>
    <w:lvl w:ilvl="0" w:tplc="C4FED9C0">
      <w:start w:val="1"/>
      <w:numFmt w:val="decimal"/>
      <w:lvlText w:val="%1."/>
      <w:lvlJc w:val="left"/>
      <w:pPr>
        <w:ind w:left="700" w:hanging="360"/>
      </w:pPr>
      <w:rPr>
        <w:rFonts w:ascii="Arial" w:eastAsia="Arial" w:hAnsi="Arial" w:cs="Arial" w:hint="default"/>
        <w:i w:val="0"/>
        <w:iCs w:val="0"/>
        <w:spacing w:val="-1"/>
        <w:w w:val="100"/>
        <w:sz w:val="22"/>
        <w:szCs w:val="22"/>
      </w:rPr>
    </w:lvl>
    <w:lvl w:ilvl="1" w:tplc="36A48AFE">
      <w:numFmt w:val="bullet"/>
      <w:lvlText w:val=""/>
      <w:lvlJc w:val="left"/>
      <w:pPr>
        <w:ind w:left="1154" w:hanging="454"/>
      </w:pPr>
      <w:rPr>
        <w:rFonts w:ascii="Symbol" w:eastAsia="Symbol" w:hAnsi="Symbol" w:cs="Symbol" w:hint="default"/>
        <w:w w:val="100"/>
        <w:sz w:val="23"/>
        <w:szCs w:val="23"/>
      </w:rPr>
    </w:lvl>
    <w:lvl w:ilvl="2" w:tplc="93DE38DE">
      <w:numFmt w:val="bullet"/>
      <w:lvlText w:val="•"/>
      <w:lvlJc w:val="left"/>
      <w:pPr>
        <w:ind w:left="2109" w:hanging="454"/>
      </w:pPr>
      <w:rPr>
        <w:rFonts w:hint="default"/>
      </w:rPr>
    </w:lvl>
    <w:lvl w:ilvl="3" w:tplc="058C338C">
      <w:numFmt w:val="bullet"/>
      <w:lvlText w:val="•"/>
      <w:lvlJc w:val="left"/>
      <w:pPr>
        <w:ind w:left="3059" w:hanging="454"/>
      </w:pPr>
      <w:rPr>
        <w:rFonts w:hint="default"/>
      </w:rPr>
    </w:lvl>
    <w:lvl w:ilvl="4" w:tplc="DA8A84E8">
      <w:numFmt w:val="bullet"/>
      <w:lvlText w:val="•"/>
      <w:lvlJc w:val="left"/>
      <w:pPr>
        <w:ind w:left="4008" w:hanging="454"/>
      </w:pPr>
      <w:rPr>
        <w:rFonts w:hint="default"/>
      </w:rPr>
    </w:lvl>
    <w:lvl w:ilvl="5" w:tplc="4172423E">
      <w:numFmt w:val="bullet"/>
      <w:lvlText w:val="•"/>
      <w:lvlJc w:val="left"/>
      <w:pPr>
        <w:ind w:left="4958" w:hanging="454"/>
      </w:pPr>
      <w:rPr>
        <w:rFonts w:hint="default"/>
      </w:rPr>
    </w:lvl>
    <w:lvl w:ilvl="6" w:tplc="B8EEF466">
      <w:numFmt w:val="bullet"/>
      <w:lvlText w:val="•"/>
      <w:lvlJc w:val="left"/>
      <w:pPr>
        <w:ind w:left="5908" w:hanging="454"/>
      </w:pPr>
      <w:rPr>
        <w:rFonts w:hint="default"/>
      </w:rPr>
    </w:lvl>
    <w:lvl w:ilvl="7" w:tplc="7F88E1C2">
      <w:numFmt w:val="bullet"/>
      <w:lvlText w:val="•"/>
      <w:lvlJc w:val="left"/>
      <w:pPr>
        <w:ind w:left="6857" w:hanging="454"/>
      </w:pPr>
      <w:rPr>
        <w:rFonts w:hint="default"/>
      </w:rPr>
    </w:lvl>
    <w:lvl w:ilvl="8" w:tplc="570487BC">
      <w:numFmt w:val="bullet"/>
      <w:lvlText w:val="•"/>
      <w:lvlJc w:val="left"/>
      <w:pPr>
        <w:ind w:left="7807" w:hanging="454"/>
      </w:pPr>
      <w:rPr>
        <w:rFonts w:hint="default"/>
      </w:rPr>
    </w:lvl>
  </w:abstractNum>
  <w:num w:numId="1" w16cid:durableId="57586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FB"/>
    <w:rsid w:val="00016573"/>
    <w:rsid w:val="000341E0"/>
    <w:rsid w:val="000355EA"/>
    <w:rsid w:val="000E1854"/>
    <w:rsid w:val="000F36A6"/>
    <w:rsid w:val="002C2651"/>
    <w:rsid w:val="003544F0"/>
    <w:rsid w:val="00380DDF"/>
    <w:rsid w:val="003A1E63"/>
    <w:rsid w:val="003E7980"/>
    <w:rsid w:val="00490B94"/>
    <w:rsid w:val="00492E38"/>
    <w:rsid w:val="004957AF"/>
    <w:rsid w:val="00522D3D"/>
    <w:rsid w:val="005C3010"/>
    <w:rsid w:val="006E4B45"/>
    <w:rsid w:val="006E5867"/>
    <w:rsid w:val="0071542E"/>
    <w:rsid w:val="00930D2A"/>
    <w:rsid w:val="00942970"/>
    <w:rsid w:val="009E518B"/>
    <w:rsid w:val="00A94DB8"/>
    <w:rsid w:val="00A9553E"/>
    <w:rsid w:val="00B82C52"/>
    <w:rsid w:val="00BB0EF5"/>
    <w:rsid w:val="00BB29FB"/>
    <w:rsid w:val="00BC2E5E"/>
    <w:rsid w:val="00C55153"/>
    <w:rsid w:val="00CA2F12"/>
    <w:rsid w:val="00CE4847"/>
    <w:rsid w:val="00EB24F2"/>
    <w:rsid w:val="00F15AAD"/>
    <w:rsid w:val="00F407A3"/>
    <w:rsid w:val="00F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ADC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9FB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B29F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B29FB"/>
    <w:rPr>
      <w:rFonts w:ascii="Arial Unicode MS" w:eastAsia="Arial Unicode MS" w:hAnsi="Arial Unicode MS" w:cs="Arial Unicode MS"/>
      <w:sz w:val="16"/>
      <w:szCs w:val="16"/>
      <w:lang w:val="en-US"/>
    </w:rPr>
  </w:style>
  <w:style w:type="paragraph" w:styleId="ListParagraph">
    <w:name w:val="List Paragraph"/>
    <w:basedOn w:val="Normal"/>
    <w:uiPriority w:val="1"/>
    <w:qFormat/>
    <w:rsid w:val="00BB29FB"/>
    <w:pPr>
      <w:ind w:left="934" w:hanging="360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55153"/>
    <w:pPr>
      <w:spacing w:after="0" w:line="240" w:lineRule="auto"/>
    </w:pPr>
    <w:rPr>
      <w:rFonts w:ascii="Arial Unicode MS" w:eastAsia="Arial Unicode MS" w:hAnsi="Arial Unicode MS" w:cs="Arial Unicode MS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4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1E0"/>
    <w:rPr>
      <w:rFonts w:ascii="Arial Unicode MS" w:eastAsia="Arial Unicode MS" w:hAnsi="Arial Unicode MS" w:cs="Arial Unicode M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4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1E0"/>
    <w:rPr>
      <w:rFonts w:ascii="Arial Unicode MS" w:eastAsia="Arial Unicode MS" w:hAnsi="Arial Unicode MS" w:cs="Arial Unicode MS"/>
      <w:lang w:val="en-US"/>
    </w:rPr>
  </w:style>
  <w:style w:type="character" w:styleId="Hyperlink">
    <w:name w:val="Hyperlink"/>
    <w:basedOn w:val="DefaultParagraphFont"/>
    <w:uiPriority w:val="99"/>
    <w:unhideWhenUsed/>
    <w:rsid w:val="00930D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D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0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pcqld.sharepoint.com/sites/DPC-CABINETSERVICES/Shared%20Documents/General/Proactive%20Release/ToBeProcessed/2022/Oct/TowardTourism/Attachments/Respons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2/Oct/TowardTourism/Attachments/Strategy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7" ma:contentTypeDescription="Create a new document." ma:contentTypeScope="" ma:versionID="af6f5430eb7d810b497d2a680f43df08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9e5b09456ee92f63c793c2b07d46b7f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0CDD8-D732-4359-9AA0-C923CF030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A2D78-2ECE-47F9-B4AC-0D780DC1B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272</Words>
  <Characters>1547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Base>https://www.cabinet.qld.gov.au/documents/2022/Oct/TowardTourism/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</cp:revision>
  <cp:lastPrinted>2022-12-13T00:40:00Z</cp:lastPrinted>
  <dcterms:created xsi:type="dcterms:W3CDTF">2022-09-28T00:19:00Z</dcterms:created>
  <dcterms:modified xsi:type="dcterms:W3CDTF">2023-08-03T22:32:00Z</dcterms:modified>
  <cp:category>Tourism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20221012121255789</vt:lpwstr>
  </property>
  <property fmtid="{D5CDD505-2E9C-101B-9397-08002B2CF9AE}" pid="3" name="ClassificationContentMarkingHeaderShapeIds">
    <vt:lpwstr>4916fc15,3bb76bbd,27b63ade</vt:lpwstr>
  </property>
  <property fmtid="{D5CDD505-2E9C-101B-9397-08002B2CF9AE}" pid="4" name="ClassificationContentMarkingHeaderFontProps">
    <vt:lpwstr>#008000,20,Calibri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dbba12b5-5c44-45c1-8d23-ce231b9c6da8_Enabled">
    <vt:lpwstr>true</vt:lpwstr>
  </property>
  <property fmtid="{D5CDD505-2E9C-101B-9397-08002B2CF9AE}" pid="7" name="MSIP_Label_dbba12b5-5c44-45c1-8d23-ce231b9c6da8_SetDate">
    <vt:lpwstr>2023-08-03T22:32:00Z</vt:lpwstr>
  </property>
  <property fmtid="{D5CDD505-2E9C-101B-9397-08002B2CF9AE}" pid="8" name="MSIP_Label_dbba12b5-5c44-45c1-8d23-ce231b9c6da8_Method">
    <vt:lpwstr>Standard</vt:lpwstr>
  </property>
  <property fmtid="{D5CDD505-2E9C-101B-9397-08002B2CF9AE}" pid="9" name="MSIP_Label_dbba12b5-5c44-45c1-8d23-ce231b9c6da8_Name">
    <vt:lpwstr>OFFICIAL-PILOT</vt:lpwstr>
  </property>
  <property fmtid="{D5CDD505-2E9C-101B-9397-08002B2CF9AE}" pid="10" name="MSIP_Label_dbba12b5-5c44-45c1-8d23-ce231b9c6da8_SiteId">
    <vt:lpwstr>51778d2a-a6ab-4c76-97dc-782782d65046</vt:lpwstr>
  </property>
  <property fmtid="{D5CDD505-2E9C-101B-9397-08002B2CF9AE}" pid="11" name="MSIP_Label_dbba12b5-5c44-45c1-8d23-ce231b9c6da8_ActionId">
    <vt:lpwstr>8223cb77-10f9-426c-a51a-9e2382ec4e36</vt:lpwstr>
  </property>
  <property fmtid="{D5CDD505-2E9C-101B-9397-08002B2CF9AE}" pid="12" name="MSIP_Label_dbba12b5-5c44-45c1-8d23-ce231b9c6da8_ContentBits">
    <vt:lpwstr>1</vt:lpwstr>
  </property>
</Properties>
</file>